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B" w:rsidRPr="00802AA3" w:rsidRDefault="004D787D" w:rsidP="00DE7A28">
      <w:pPr>
        <w:ind w:left="540" w:right="1067"/>
        <w:rPr>
          <w:b/>
          <w:color w:val="AF272F"/>
          <w:sz w:val="36"/>
          <w:szCs w:val="44"/>
        </w:rPr>
      </w:pPr>
      <w:bookmarkStart w:id="0" w:name="_GoBack"/>
      <w:bookmarkEnd w:id="0"/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 xml:space="preserve">Strategic Plan </w:t>
      </w:r>
      <w:r w:rsidRPr="00802AA3">
        <w:rPr>
          <w:b/>
          <w:noProof/>
          <w:color w:val="AF272F"/>
          <w:sz w:val="36"/>
          <w:szCs w:val="44"/>
        </w:rPr>
        <w:t>2019-2022</w:t>
      </w:r>
    </w:p>
    <w:p w:rsidR="00B076DB" w:rsidRPr="006A611D" w:rsidRDefault="004D787D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Lightning Reef Primary School (5541)</w:t>
      </w:r>
    </w:p>
    <w:p w:rsidR="00B076DB" w:rsidRPr="008766A4" w:rsidRDefault="004D787D" w:rsidP="00B076DB">
      <w:pPr>
        <w:pStyle w:val="ESIntroParagraph"/>
        <w:ind w:left="-567" w:right="4330"/>
      </w:pPr>
    </w:p>
    <w:p w:rsidR="00B076DB" w:rsidRDefault="004D787D" w:rsidP="00B076DB">
      <w:pPr>
        <w:pStyle w:val="Heading1"/>
        <w:ind w:left="-567"/>
      </w:pPr>
    </w:p>
    <w:p w:rsidR="00B076DB" w:rsidRDefault="004D787D" w:rsidP="00B076DB">
      <w:pPr>
        <w:pStyle w:val="ESHeading2"/>
      </w:pPr>
    </w:p>
    <w:p w:rsidR="009251D9" w:rsidRDefault="004D787D" w:rsidP="00B076DB">
      <w:pPr>
        <w:pStyle w:val="ESHeading2"/>
      </w:pPr>
    </w:p>
    <w:p w:rsidR="009251D9" w:rsidRDefault="004D787D" w:rsidP="00B076DB">
      <w:pPr>
        <w:pStyle w:val="ESHeading2"/>
      </w:pPr>
    </w:p>
    <w:p w:rsidR="00A06D62" w:rsidRDefault="004D787D" w:rsidP="00B076DB">
      <w:pPr>
        <w:pStyle w:val="ESHeading2"/>
      </w:pPr>
    </w:p>
    <w:p w:rsidR="00A06D62" w:rsidRDefault="004D787D" w:rsidP="00B076DB">
      <w:pPr>
        <w:pStyle w:val="ESHeading2"/>
      </w:pPr>
    </w:p>
    <w:p w:rsidR="00A06D62" w:rsidRDefault="004D787D" w:rsidP="00B076DB">
      <w:pPr>
        <w:pStyle w:val="ESHeading2"/>
      </w:pPr>
    </w:p>
    <w:p w:rsidR="00BA5195" w:rsidRPr="00CB0768" w:rsidRDefault="004D787D" w:rsidP="00CB0768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2048161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4D787D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0F" w:rsidRDefault="004D787D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 xml:space="preserve">Submitted for review by Julie Hommelhoff (School </w:t>
                            </w:r>
                            <w:r>
                              <w:rPr>
                                <w:noProof/>
                              </w:rPr>
                              <w:t>Principal) on 15 October, 2018 at 05:33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Damien Jenkyn (Senior Education Improvement Leader) on 15 October, 2018 at 05:34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994A0F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Julie Hommelhoff (School Principal) on 15 October, 2018 at 05:33 PM</w:t>
                        <w:br/>
                        <w:t>Endorsed by Damien Jenkyn (Senior Education Improvement Leader) on 15 October, 2018 at 05:34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D751E" w:rsidRPr="00802AA3" w:rsidRDefault="004D787D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2019-2022</w:t>
      </w:r>
    </w:p>
    <w:p w:rsidR="00C259B6" w:rsidRDefault="004D787D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Lightning Reef Primary School (5</w:t>
      </w:r>
      <w:r w:rsidRPr="001D751E">
        <w:rPr>
          <w:noProof/>
          <w:color w:val="595959" w:themeColor="text1" w:themeTint="A6"/>
        </w:rPr>
        <w:t>541)</w:t>
      </w:r>
    </w:p>
    <w:p w:rsidR="00BB1C14" w:rsidRDefault="004D787D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431E76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D787D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4365C8" w:rsidRDefault="004D787D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>Our Vision: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Lightning Reef;</w:t>
            </w:r>
            <w:r>
              <w:rPr>
                <w:sz w:val="20"/>
              </w:rPr>
              <w:br/>
              <w:t>Learners today, Leaders tomorrow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Our Mission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We will provide a welcoming and challenging environment.</w:t>
            </w:r>
            <w:r>
              <w:rPr>
                <w:sz w:val="20"/>
              </w:rPr>
              <w:br/>
              <w:t>We will foster respectful and responsible global citizens capable of thriving in the future.</w:t>
            </w:r>
            <w:r>
              <w:rPr>
                <w:sz w:val="20"/>
              </w:rPr>
              <w:br/>
              <w:t xml:space="preserve">We will </w:t>
            </w:r>
            <w:r>
              <w:rPr>
                <w:sz w:val="20"/>
              </w:rPr>
              <w:t>develop students who are knowledgeable, skilled, confident and reflective.</w:t>
            </w:r>
            <w:r>
              <w:rPr>
                <w:sz w:val="20"/>
              </w:rPr>
              <w:br/>
              <w:t>We will be a centre of excellence committed to sharing best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431E76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D787D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Our Values and Behaviours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Key values will be evident in our behaviours ensuring a shared and </w:t>
            </w:r>
            <w:r>
              <w:rPr>
                <w:sz w:val="20"/>
              </w:rPr>
              <w:t>relentless commitment to implementing our mission so that our vision becomes a living reality.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We value RESPECT</w:t>
            </w:r>
            <w:r>
              <w:rPr>
                <w:sz w:val="20"/>
              </w:rPr>
              <w:br/>
              <w:t>We respect ourselves, others and our environment.</w:t>
            </w:r>
            <w:r>
              <w:rPr>
                <w:sz w:val="20"/>
              </w:rPr>
              <w:br/>
              <w:t>We value CO-OPERATION</w:t>
            </w:r>
            <w:r>
              <w:rPr>
                <w:sz w:val="20"/>
              </w:rPr>
              <w:br/>
              <w:t>We co-operate with our friends, peers, teachers, parents and community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We value RESPONSIBILITY</w:t>
            </w:r>
            <w:r>
              <w:rPr>
                <w:sz w:val="20"/>
              </w:rPr>
              <w:br/>
              <w:t>We take care of ourselves, others, our belongings and the environment</w:t>
            </w:r>
            <w:r>
              <w:rPr>
                <w:sz w:val="20"/>
              </w:rPr>
              <w:br/>
              <w:t>We value BEING OUR BEST</w:t>
            </w:r>
            <w:r>
              <w:rPr>
                <w:sz w:val="20"/>
              </w:rPr>
              <w:br/>
              <w:t>We all strive to be our very best in everything we do.</w:t>
            </w:r>
            <w:r>
              <w:rPr>
                <w:sz w:val="20"/>
              </w:rPr>
              <w:br/>
            </w:r>
          </w:p>
        </w:tc>
      </w:tr>
      <w:tr w:rsidR="00431E76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D787D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Location and history </w:t>
            </w:r>
            <w:r>
              <w:rPr>
                <w:sz w:val="20"/>
              </w:rPr>
              <w:tab/>
              <w:t>Lightning Reef Primary School is located</w:t>
            </w:r>
            <w:r>
              <w:rPr>
                <w:sz w:val="20"/>
              </w:rPr>
              <w:t xml:space="preserve"> in Central Victoria in the City of Greater Bendigo, approximately 153 kilometres north of the Melbourne Central Business District. The school was established in 2011 as a result of a merger between </w:t>
            </w:r>
            <w:r>
              <w:rPr>
                <w:sz w:val="20"/>
              </w:rPr>
              <w:lastRenderedPageBreak/>
              <w:t>North Bendigo and Comet Hill Primary Schools. For the fir</w:t>
            </w:r>
            <w:r>
              <w:rPr>
                <w:sz w:val="20"/>
              </w:rPr>
              <w:t xml:space="preserve">st two years, the school operated as dual campus until new facilities were completed on the former Comet Hill Primary School site.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facilities</w:t>
            </w:r>
            <w:r>
              <w:rPr>
                <w:sz w:val="20"/>
              </w:rPr>
              <w:tab/>
              <w:t>Cluster buildings provide classroom learning spaces featuring shared central open learning areas, which a</w:t>
            </w:r>
            <w:r>
              <w:rPr>
                <w:sz w:val="20"/>
              </w:rPr>
              <w:t>re utilised for small group work and specialist activities. An administration block incorporates staff and office facilities and includes an industrial kitchen and conference room. A full-size gymnasium and canteen is positioned in the redesigned landscape</w:t>
            </w:r>
            <w:r>
              <w:rPr>
                <w:sz w:val="20"/>
              </w:rPr>
              <w:t>d grounds along with a school oval and active and passive play areas. A chicken enclosure and vegetable garden have been established.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Enrolments</w:t>
            </w:r>
            <w:r>
              <w:rPr>
                <w:sz w:val="20"/>
              </w:rPr>
              <w:tab/>
              <w:t xml:space="preserve">Enrolments at the time are approximately 196 students.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SFO and SFOE </w:t>
            </w:r>
            <w:r>
              <w:rPr>
                <w:sz w:val="20"/>
              </w:rPr>
              <w:tab/>
              <w:t>The Student Family Occupation (SFO) in</w:t>
            </w:r>
            <w:r>
              <w:rPr>
                <w:sz w:val="20"/>
              </w:rPr>
              <w:t xml:space="preserve">dex was 0.85 and the Student Family Occupation Education (SFOE) index was 0.76 in 2018.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Staff profile</w:t>
            </w:r>
            <w:r>
              <w:rPr>
                <w:sz w:val="20"/>
              </w:rPr>
              <w:tab/>
              <w:t>Lightning Reef Primary School staffing profile of 13.7 teachers includes a Principal and Assistant Principal. There are 4.0 full time equivalent Educati</w:t>
            </w:r>
            <w:r>
              <w:rPr>
                <w:sz w:val="20"/>
              </w:rPr>
              <w:t>on Support staff [ES] including the Business Manager. A Reading Recovery teacher is employed 0.6. The school employs a 0.6 Social Worker and an English as an Additional Language [EAL] program is supported by two multicultural aides [MEAs].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Curriculum</w:t>
            </w:r>
            <w:r>
              <w:rPr>
                <w:sz w:val="20"/>
              </w:rPr>
              <w:tab/>
              <w:t xml:space="preserve">The </w:t>
            </w:r>
            <w:r>
              <w:rPr>
                <w:sz w:val="20"/>
              </w:rPr>
              <w:t xml:space="preserve">school curriculum framework is based on the Victorian Curriculum. A Reading Recovery literacy intervention is provided at Year 1. Specialist classes are provided in Visual Arts, Chinese, Music and Physical Education along with provision of an EAL program.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Additional information</w:t>
            </w:r>
            <w:r>
              <w:rPr>
                <w:sz w:val="20"/>
              </w:rPr>
              <w:tab/>
              <w:t>The school, in partnership with the on-site Early Learning Centre, provides an accredited Out of School Hours Care program. A daily breakfast program is provided by Food Bank and Food Share. The City of Greater Bendigo, in partners</w:t>
            </w:r>
            <w:r>
              <w:rPr>
                <w:sz w:val="20"/>
              </w:rPr>
              <w:t>hip with local businesses, supports Passions and Pathways, an aspirational work experience program for all Year 6 students.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Challenges:</w:t>
            </w:r>
            <w:r>
              <w:rPr>
                <w:sz w:val="20"/>
              </w:rPr>
              <w:br/>
              <w:t>An analysis of the school’s NAPLAN and school-based benchmarking data identified a high proportion of students demonstr</w:t>
            </w:r>
            <w:r>
              <w:rPr>
                <w:sz w:val="20"/>
              </w:rPr>
              <w:t xml:space="preserve">ating low to medium growth in both reading and writing. Additionally, the school's panorama report indicated lower growth compared to similar schools. </w:t>
            </w:r>
            <w:r>
              <w:rPr>
                <w:sz w:val="20"/>
              </w:rPr>
              <w:br/>
              <w:t>An analysis of the school’s NAPLAN and school-based benchmarking data identified a high proportion of st</w:t>
            </w:r>
            <w:r>
              <w:rPr>
                <w:sz w:val="20"/>
              </w:rPr>
              <w:t xml:space="preserve">udents demonstrating low to medium growth in numeracy. Additionally, the school's panorama report indicated lower growth compared to similar schools. </w:t>
            </w:r>
            <w:r>
              <w:rPr>
                <w:sz w:val="20"/>
              </w:rPr>
              <w:br/>
              <w:t>An analysis of the school’s absence data identified the school had higher absences than the state average</w:t>
            </w:r>
            <w:r>
              <w:rPr>
                <w:sz w:val="20"/>
              </w:rPr>
              <w:t xml:space="preserve"> for each year of the School Strategic Plan</w:t>
            </w:r>
          </w:p>
        </w:tc>
      </w:tr>
      <w:tr w:rsidR="00431E76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20776D" w:rsidRPr="001D6EDC" w:rsidRDefault="004D787D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lastRenderedPageBreak/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:rsidR="00BB1C14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Improving the learning growth and achievement of all students in literacy and numeracy is a key direction for the next School Strategic Plan.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Building practice excellence and impro</w:t>
            </w:r>
            <w:r>
              <w:rPr>
                <w:sz w:val="20"/>
              </w:rPr>
              <w:t>ved curriculum planning, documentation and assessment practices to further develop teacher capacity to differentiate teaching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Building teacher capacity in data literacy, systematic collection of data and evidence, and tracking of students to better infor</w:t>
            </w:r>
            <w:r>
              <w:rPr>
                <w:sz w:val="20"/>
              </w:rPr>
              <w:t>m teaching and learning decisions and to enable more accurate personalised student learning decisions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Building teacher knowledge and capacity to implement high impact teaching strategies and further develop school-wide processes to ensure consistency in </w:t>
            </w:r>
            <w:r>
              <w:rPr>
                <w:sz w:val="20"/>
              </w:rPr>
              <w:t>the transfer of teacher learning into classrooms.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Developing professional classroom observations and structured feedback practices to build teaching capacity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Establishing a consistent pedagogical approach across the whole school to strengthen the learn</w:t>
            </w:r>
            <w:r>
              <w:rPr>
                <w:sz w:val="20"/>
              </w:rPr>
              <w:t>ing and teaching opportunities for all students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Developing consistency of approach across the school and build teacher knowledge of the Victorian Curriculum and learning sequences, supported by strategic professional learning opportunities for staff.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A further focus to provide a learning environment that engages and empowers all students in their learning achieved by;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Building a focus on student voice and agency. Developing a whole school approach to increase student ownership in learning and activat</w:t>
            </w:r>
            <w:r>
              <w:rPr>
                <w:sz w:val="20"/>
              </w:rPr>
              <w:t>e student capacity to contribute to the development of their own learning pathways and achievement of goals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Building a culture of high expectations for learning, engagement and behaviour with a focus on strengthening staff capacity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Strengthening the cu</w:t>
            </w:r>
            <w:r>
              <w:rPr>
                <w:sz w:val="20"/>
              </w:rPr>
              <w:t>lture of teams as professional learning communities with the capacity to ensure challenge and support for all students at their point of learning need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Developing a whole-school community agreed framework that promotes high expectations for learning and b</w:t>
            </w:r>
            <w:r>
              <w:rPr>
                <w:sz w:val="20"/>
              </w:rPr>
              <w:t>ehaviour regularly throughout the school community.</w:t>
            </w:r>
            <w:r>
              <w:rPr>
                <w:sz w:val="20"/>
              </w:rPr>
              <w:br/>
              <w:t>.</w:t>
            </w:r>
            <w:r>
              <w:rPr>
                <w:sz w:val="20"/>
              </w:rPr>
              <w:br/>
            </w:r>
          </w:p>
        </w:tc>
      </w:tr>
    </w:tbl>
    <w:p w:rsidR="00BB1C14" w:rsidRDefault="004D787D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:rsidR="00B13A07" w:rsidRDefault="004D787D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:rsidR="00405DB2" w:rsidRDefault="004D787D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405DB2" w:rsidRDefault="004D787D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B13A07" w:rsidRPr="00722E21" w:rsidRDefault="004D787D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:rsidR="00370AF8" w:rsidRPr="00B13A07" w:rsidRDefault="004D787D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FA10DB" w:rsidRDefault="004D787D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2019-2022</w:t>
      </w:r>
    </w:p>
    <w:p w:rsidR="00B076DB" w:rsidRDefault="004D787D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Lightning Reef Primary School (5541)</w:t>
      </w:r>
    </w:p>
    <w:p w:rsidR="0038585D" w:rsidRDefault="004D787D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431E76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4D787D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Improve student learning growth and achievement in literacy and </w:t>
            </w:r>
            <w:r>
              <w:rPr>
                <w:sz w:val="20"/>
              </w:rPr>
              <w:t>numeracy F-6. ***DN - please note the literacy and numeracy goals have been combined as the KIS are similar***</w:t>
            </w:r>
          </w:p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students making high relative learning growth from year 3 to 5 on NAPLAN reading to be 25% or greater.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</w:t>
            </w:r>
            <w:r>
              <w:rPr>
                <w:rFonts w:eastAsia="Arial"/>
                <w:sz w:val="20"/>
                <w:szCs w:val="20"/>
              </w:rPr>
              <w:t>022 the percentage of students making high relative learning growth from Year 3 to Year 5 on NAPLAN writing, to be 18% or greater.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 the percentage of Year 5 students achieving in the top 2 bands in NAPLAN reading will increase from 7%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25%.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Year 3 students achieving in the top 2 bands in NAPLAN reading will increase from 13% to 28%.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the percentage of students making high relative learning growth from Year 3 to 5 on NAPLAN numeracy to be </w:t>
            </w:r>
            <w:r>
              <w:rPr>
                <w:rFonts w:eastAsia="Arial"/>
                <w:sz w:val="20"/>
                <w:szCs w:val="20"/>
              </w:rPr>
              <w:t>25% or greater.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 the percentage of Year 5 students achieving in the top 2 bands in NAPLAN numeracy will increase from 3% to 20%.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 of Year 3 students achieving in the top 2 bands in NAPLAN numeracy will increase fro</w:t>
            </w:r>
            <w:r>
              <w:rPr>
                <w:rFonts w:eastAsia="Arial"/>
                <w:sz w:val="20"/>
                <w:szCs w:val="20"/>
              </w:rPr>
              <w:t>m 13% to 21%.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1.5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 the percentage of Year 5 students achieving in the lower 2 NAPLAN Bands in numeracy will decrease from 44% to 22%*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the percentage of Year 3 students achieving in the lower 2 NAPLAN Bands in numeracy will decrease </w:t>
            </w:r>
            <w:r>
              <w:rPr>
                <w:rFonts w:eastAsia="Arial"/>
                <w:sz w:val="20"/>
                <w:szCs w:val="20"/>
              </w:rPr>
              <w:t>from 44% to 22%*       *Does not include exempt students.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431E76" w:rsidRDefault="004D787D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 whole-school scoped and sequenced literacy and numeracy curriculum aligned with the Victorian Curriculum [CPA]</w:t>
            </w:r>
          </w:p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1.b</w:t>
            </w:r>
          </w:p>
          <w:p w:rsidR="00431E76" w:rsidRDefault="004D787D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embed an evidence-based instructional model for planning and teaching for literacy and numeracy [CPA]</w:t>
            </w:r>
          </w:p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431E76" w:rsidRDefault="004D787D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data lite</w:t>
            </w:r>
            <w:r>
              <w:rPr>
                <w:sz w:val="20"/>
              </w:rPr>
              <w:t xml:space="preserve">racy skills to inform collaborative planning for differentiated teaching and identify professional learning needs </w:t>
            </w:r>
          </w:p>
        </w:tc>
      </w:tr>
      <w:tr w:rsidR="00431E76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4D787D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Provide a learning environment that engages and empowers all students in their learning.</w:t>
            </w:r>
          </w:p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increase the percentage of positive responses for the 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student voice and agency </w:t>
            </w:r>
            <w:r>
              <w:rPr>
                <w:rFonts w:eastAsia="Arial"/>
                <w:sz w:val="20"/>
                <w:szCs w:val="20"/>
              </w:rPr>
              <w:t>factor on the Student Attitudes to School Survey from 57% to 80%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 increase the percentage of positive responses for the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stimulating learning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the Parent Opinion Survey from 70% to 83%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increase the percentage of positive responses for the 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high expectations </w:t>
            </w:r>
            <w:r>
              <w:rPr>
                <w:rFonts w:eastAsia="Arial"/>
                <w:sz w:val="20"/>
                <w:szCs w:val="20"/>
              </w:rPr>
              <w:t>factor on the Parent Opinion Survey from 82% to 90%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431E76" w:rsidRDefault="004D7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 increase the percentage of positive responses for the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collective efficacy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factor on the School Staff Survey from 19% to 50%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By 2022 increase the percentage of positive responses for the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trust in students and parents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factor on the School Staff Survey from 10% to 50%</w:t>
            </w:r>
          </w:p>
          <w:p w:rsidR="00431E76" w:rsidRDefault="004D78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 increase the percentage of positive </w:t>
            </w:r>
            <w:r>
              <w:rPr>
                <w:rFonts w:eastAsia="Arial"/>
                <w:sz w:val="20"/>
                <w:szCs w:val="20"/>
              </w:rPr>
              <w:t xml:space="preserve">responses for the </w:t>
            </w:r>
            <w:r>
              <w:rPr>
                <w:rFonts w:eastAsia="Arial"/>
                <w:i/>
                <w:iCs/>
                <w:sz w:val="20"/>
                <w:szCs w:val="20"/>
              </w:rPr>
              <w:t xml:space="preserve">academic emphasis </w:t>
            </w:r>
            <w:r>
              <w:rPr>
                <w:rFonts w:eastAsia="Arial"/>
                <w:sz w:val="20"/>
                <w:szCs w:val="20"/>
              </w:rPr>
              <w:t>factor on the School Staff Survey from 24% to 60%</w:t>
            </w:r>
          </w:p>
          <w:p w:rsidR="00431E76" w:rsidRDefault="00431E76"/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2.a</w:t>
            </w:r>
          </w:p>
          <w:p w:rsidR="00431E76" w:rsidRDefault="004D787D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the capacity of all staff to have high expectations for learning, engagement and behaviour [H&amp;W]</w:t>
            </w:r>
          </w:p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2.b</w:t>
            </w:r>
          </w:p>
          <w:p w:rsidR="00431E76" w:rsidRDefault="004D787D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whole school approach to activating student voice, agency and leadership in their learning [ES&amp;BSP]</w:t>
            </w:r>
          </w:p>
        </w:tc>
      </w:tr>
      <w:tr w:rsidR="00431E76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4D787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431E76" w:rsidRDefault="004D787D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4D787D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Strengthen school comm</w:t>
            </w:r>
            <w:r>
              <w:rPr>
                <w:sz w:val="20"/>
              </w:rPr>
              <w:t>unity, parent and carer partnerships to promote high expectations for student achievement [BC]</w:t>
            </w:r>
          </w:p>
        </w:tc>
      </w:tr>
    </w:tbl>
    <w:p w:rsidR="005E684F" w:rsidRPr="00FA10DB" w:rsidRDefault="004D787D" w:rsidP="005E684F">
      <w:pPr>
        <w:ind w:right="-632"/>
        <w:rPr>
          <w:b/>
          <w:color w:val="AF272F"/>
          <w:sz w:val="36"/>
          <w:szCs w:val="44"/>
        </w:rPr>
      </w:pPr>
    </w:p>
    <w:p w:rsidR="00431E76" w:rsidRDefault="00431E76"/>
    <w:p w:rsidR="00431E76" w:rsidRDefault="00431E76"/>
    <w:sectPr w:rsidR="00431E76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87D">
      <w:pPr>
        <w:spacing w:after="0" w:line="240" w:lineRule="auto"/>
      </w:pPr>
      <w:r>
        <w:separator/>
      </w:r>
    </w:p>
  </w:endnote>
  <w:endnote w:type="continuationSeparator" w:id="0">
    <w:p w:rsidR="00000000" w:rsidRDefault="004D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A0F" w:rsidRDefault="004D787D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Pr="003E29B5" w:rsidRDefault="004D787D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Pr="007839E6" w:rsidRDefault="004D787D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Lightning Reef Primary School (5541)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A0F" w:rsidRPr="007B2B29" w:rsidRDefault="004D787D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7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87D">
      <w:pPr>
        <w:spacing w:after="0" w:line="240" w:lineRule="auto"/>
      </w:pPr>
      <w:r>
        <w:separator/>
      </w:r>
    </w:p>
  </w:footnote>
  <w:footnote w:type="continuationSeparator" w:id="0">
    <w:p w:rsidR="00000000" w:rsidRDefault="004D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A0F" w:rsidRDefault="004D78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A0F" w:rsidRDefault="004D787D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994A0F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0F" w:rsidRDefault="004D787D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A0F" w:rsidRDefault="004D787D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994A0F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57B0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AF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8E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86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A4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CE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08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8A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4B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3CE4784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A28EA77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EF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B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4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4D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4F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0D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2A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A9EEBA6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765870FA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C0B67D30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7DA3450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5972CC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8CEA390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3A40F80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2E48BF8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1EF42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C5724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2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89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9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88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A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2E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C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C7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F516E56C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EA600234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CEE26424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3ACC137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858359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55029308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3F27D7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1CA3BDC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EB269CF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D01C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8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45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0D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0A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7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07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02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0E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76"/>
    <w:rsid w:val="00431E76"/>
    <w:rsid w:val="004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3E5465D8-FD9E-4EDC-825C-EDFAF60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EAA1D1-3042-4283-9AC2-9E230ABD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8180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Hommelhoff, Julie J</cp:lastModifiedBy>
  <cp:revision>2</cp:revision>
  <cp:lastPrinted>2018-10-15T06:37:00Z</cp:lastPrinted>
  <dcterms:created xsi:type="dcterms:W3CDTF">2018-10-15T06:38:00Z</dcterms:created>
  <dcterms:modified xsi:type="dcterms:W3CDTF">2018-10-15T06:38:00Z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